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-107315</wp:posOffset>
                </wp:positionH>
                <wp:positionV relativeFrom="paragraph">
                  <wp:posOffset>-260985</wp:posOffset>
                </wp:positionV>
                <wp:extent cx="2279015" cy="4375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440" cy="43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gwek1"/>
                              <w:spacing w:lineRule="auto" w:line="240" w:before="0" w:after="0"/>
                              <w:jc w:val="center"/>
                              <w:rPr>
                                <w:color w:val="FF3333"/>
                              </w:rPr>
                            </w:pPr>
                            <w:r>
                              <w:rPr>
                                <w:rFonts w:ascii="Arial" w:hAnsi="Arial"/>
                                <w:color w:val="FF3333"/>
                                <w:sz w:val="20"/>
                                <w:szCs w:val="20"/>
                              </w:rPr>
                              <w:t>STAROSTA SZCZYCIEŃSKI</w:t>
                            </w:r>
                          </w:p>
                          <w:p>
                            <w:pPr>
                              <w:pStyle w:val="Nagwek1"/>
                              <w:spacing w:lineRule="auto" w:line="240" w:before="0" w:after="0"/>
                              <w:jc w:val="center"/>
                              <w:rPr>
                                <w:color w:val="FF3333"/>
                              </w:rPr>
                            </w:pPr>
                            <w:r>
                              <w:rPr>
                                <w:rFonts w:ascii="Arial" w:hAnsi="Arial"/>
                                <w:color w:val="FF3333"/>
                                <w:sz w:val="20"/>
                                <w:szCs w:val="20"/>
                              </w:rPr>
                              <w:t>ul. Sienkiewicza 1</w:t>
                            </w:r>
                          </w:p>
                          <w:p>
                            <w:pPr>
                              <w:pStyle w:val="Nagwek1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FF3333"/>
                                <w:sz w:val="20"/>
                                <w:szCs w:val="20"/>
                                <w:u w:val="none"/>
                                <w:lang w:eastAsia="pl-PL"/>
                              </w:rPr>
                              <w:t>12-100 Szczytno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-8.45pt;margin-top:-20.55pt;width:179.35pt;height:34.35pt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Nagwek1"/>
                        <w:spacing w:lineRule="auto" w:line="240" w:before="0" w:after="0"/>
                        <w:jc w:val="center"/>
                        <w:rPr>
                          <w:color w:val="FF3333"/>
                        </w:rPr>
                      </w:pPr>
                      <w:r>
                        <w:rPr>
                          <w:rFonts w:ascii="Arial" w:hAnsi="Arial"/>
                          <w:color w:val="FF3333"/>
                          <w:sz w:val="20"/>
                          <w:szCs w:val="20"/>
                        </w:rPr>
                        <w:t>STAROSTA SZCZYCIEŃSKI</w:t>
                      </w:r>
                    </w:p>
                    <w:p>
                      <w:pPr>
                        <w:pStyle w:val="Nagwek1"/>
                        <w:spacing w:lineRule="auto" w:line="240" w:before="0" w:after="0"/>
                        <w:jc w:val="center"/>
                        <w:rPr>
                          <w:color w:val="FF3333"/>
                        </w:rPr>
                      </w:pPr>
                      <w:r>
                        <w:rPr>
                          <w:rFonts w:ascii="Arial" w:hAnsi="Arial"/>
                          <w:color w:val="FF3333"/>
                          <w:sz w:val="20"/>
                          <w:szCs w:val="20"/>
                        </w:rPr>
                        <w:t>ul. Sienkiewicza 1</w:t>
                      </w:r>
                    </w:p>
                    <w:p>
                      <w:pPr>
                        <w:pStyle w:val="Nagwek1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b w:val="false"/>
                          <w:bCs w:val="false"/>
                          <w:i w:val="false"/>
                          <w:iCs w:val="false"/>
                          <w:color w:val="FF3333"/>
                          <w:sz w:val="20"/>
                          <w:szCs w:val="20"/>
                          <w:u w:val="none"/>
                          <w:lang w:eastAsia="pl-PL"/>
                        </w:rPr>
                        <w:t>12-100 Szczytno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6"/>
          <w:szCs w:val="26"/>
        </w:rPr>
        <w:t>Szczytno, dnia 29.01.2021 r.</w:t>
      </w:r>
    </w:p>
    <w:p>
      <w:pPr>
        <w:pStyle w:val="Normal"/>
        <w:jc w:val="left"/>
        <w:rPr/>
      </w:pPr>
      <w:r>
        <w:rPr>
          <w:rFonts w:ascii="Arial" w:hAnsi="Arial"/>
          <w:sz w:val="26"/>
          <w:szCs w:val="26"/>
        </w:rPr>
        <w:t xml:space="preserve">Znak: </w:t>
      </w:r>
      <w:bookmarkStart w:id="0" w:name="__DdeLink__292_1280539585"/>
      <w:bookmarkStart w:id="1" w:name="__DdeLink__318_111882601"/>
      <w:bookmarkEnd w:id="1"/>
      <w:bookmarkEnd w:id="0"/>
      <w:r>
        <w:rPr>
          <w:rFonts w:ascii="Arial" w:hAnsi="Arial"/>
          <w:sz w:val="26"/>
          <w:szCs w:val="26"/>
        </w:rPr>
        <w:t>GG-MP.6820.1.2021</w:t>
      </w:r>
    </w:p>
    <w:p>
      <w:pPr>
        <w:pStyle w:val="Normal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WWTytu"/>
        <w:rPr>
          <w:szCs w:val="24"/>
        </w:rPr>
      </w:pPr>
      <w:r>
        <w:rPr>
          <w:rFonts w:ascii="Arial" w:hAnsi="Arial"/>
          <w:sz w:val="28"/>
          <w:szCs w:val="28"/>
        </w:rPr>
        <w:t xml:space="preserve">WYKAZ NIERUCHOMOŚCI </w:t>
      </w:r>
    </w:p>
    <w:p>
      <w:pPr>
        <w:pStyle w:val="WWTytu"/>
        <w:rPr/>
      </w:pPr>
      <w:r>
        <w:rPr>
          <w:rFonts w:ascii="Arial" w:hAnsi="Arial"/>
          <w:sz w:val="28"/>
          <w:szCs w:val="28"/>
        </w:rPr>
        <w:t xml:space="preserve">SKARBU PAŃSTWA PRZEZNACZONYCH DO </w:t>
      </w:r>
      <w:r>
        <w:rPr>
          <w:rFonts w:ascii="Arial" w:hAnsi="Arial"/>
          <w:sz w:val="28"/>
          <w:szCs w:val="24"/>
        </w:rPr>
        <w:t>ZBYCIA</w:t>
      </w:r>
    </w:p>
    <w:p>
      <w:pPr>
        <w:pStyle w:val="Podtytu"/>
        <w:rPr>
          <w:rFonts w:ascii="Arial" w:hAnsi="Arial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 w:val="false"/>
          <w:bCs/>
          <w:sz w:val="24"/>
          <w:szCs w:val="24"/>
          <w:lang w:bidi="zxx"/>
        </w:rPr>
        <w:t xml:space="preserve">Na podstawie art. 35 ust. 1 ustawy z dnia 21 sierpnia 1997 roku o gospodarce nieruchomościami (tj. Dz. U. z 2020 r.  poz. 1990 ze zm.)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 w:val="false"/>
          <w:bCs/>
          <w:sz w:val="24"/>
          <w:szCs w:val="24"/>
        </w:rPr>
        <w:t xml:space="preserve">Starosta Szczycieński wykonujący zadania z zakresu administracji rządowej podaje do publicznej wiadomości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 w:val="false"/>
          <w:bCs/>
          <w:sz w:val="24"/>
          <w:szCs w:val="24"/>
        </w:rPr>
        <w:t xml:space="preserve">wykaz nieruchomości przeznaczonej do zbycia w formie darowizny : </w:t>
      </w:r>
    </w:p>
    <w:p>
      <w:pPr>
        <w:pStyle w:val="Normal"/>
        <w:jc w:val="center"/>
        <w:rPr>
          <w:b w:val="false"/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</w:r>
    </w:p>
    <w:tbl>
      <w:tblPr>
        <w:tblW w:w="14858" w:type="dxa"/>
        <w:jc w:val="left"/>
        <w:tblInd w:w="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427"/>
        <w:gridCol w:w="886"/>
        <w:gridCol w:w="1618"/>
        <w:gridCol w:w="1"/>
        <w:gridCol w:w="3071"/>
        <w:gridCol w:w="1"/>
        <w:gridCol w:w="3028"/>
        <w:gridCol w:w="1841"/>
        <w:gridCol w:w="1839"/>
        <w:gridCol w:w="2"/>
        <w:gridCol w:w="2143"/>
      </w:tblGrid>
      <w:tr>
        <w:trPr>
          <w:trHeight w:val="900" w:hRule="exact"/>
          <w:cantSplit w:val="true"/>
        </w:trPr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Opis i położenie nieruchomości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Przeznaczenie w miejscowym planie zagospodarowania przestrzennego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Wartość nieruchomości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Wysokość opłat i termin wnoszenia opłat</w:t>
            </w:r>
          </w:p>
        </w:tc>
        <w:tc>
          <w:tcPr>
            <w:tcW w:w="2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Uwagi</w:t>
            </w:r>
          </w:p>
        </w:tc>
      </w:tr>
      <w:tr>
        <w:trPr>
          <w:trHeight w:val="853" w:hRule="exact"/>
          <w:cantSplit w:val="true"/>
        </w:trPr>
        <w:tc>
          <w:tcPr>
            <w:tcW w:w="4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KW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działki</w:t>
            </w:r>
          </w:p>
        </w:tc>
        <w:tc>
          <w:tcPr>
            <w:tcW w:w="307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3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Oznaczenie nieruchomości w ewidencji gruntów i budynków</w:t>
            </w:r>
          </w:p>
        </w:tc>
        <w:tc>
          <w:tcPr>
            <w:tcW w:w="1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184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1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>
          <w:trHeight w:val="2668" w:hRule="exact"/>
          <w:cantSplit w:val="true"/>
        </w:trPr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OL1S/00028915/5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pow. 0,4937 ha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obręb 2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Miasto Szczytno</w:t>
            </w:r>
          </w:p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0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position w:val="0"/>
                <w:sz w:val="20"/>
                <w:sz w:val="20"/>
                <w:szCs w:val="20"/>
                <w:shd w:fill="FFFFFF" w:val="clear"/>
                <w:vertAlign w:val="baseline"/>
              </w:rPr>
              <w:t xml:space="preserve">Położona w Szczytnie przy ul. Bolesława Chrobrego 12 </w:t>
            </w:r>
          </w:p>
          <w:p>
            <w:pPr>
              <w:pStyle w:val="Normal"/>
              <w:jc w:val="center"/>
              <w:rPr>
                <w:rFonts w:ascii="Arial" w:hAnsi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ascii="Arial" w:hAnsi="Arial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position w:val="0"/>
                <w:sz w:val="20"/>
                <w:sz w:val="20"/>
                <w:szCs w:val="20"/>
                <w:shd w:fill="FFFFFF" w:val="clear"/>
                <w:vertAlign w:val="baseline"/>
              </w:rPr>
              <w:t>Nieruchomość gruntowa  zabudowana budynkiem wolno stojącym, murowanym, czterokondygnacyjnym , w kształcie litery „L”, częściowo podpiwniczonym o pow. 3699,54 m</w:t>
            </w:r>
            <w:r>
              <w:rPr>
                <w:rFonts w:ascii="Arial" w:hAnsi="Arial"/>
                <w:sz w:val="20"/>
                <w:szCs w:val="20"/>
                <w:shd w:fill="FFFFFF" w:val="clear"/>
                <w:vertAlign w:val="superscript"/>
              </w:rPr>
              <w:t>2</w:t>
            </w:r>
            <w:r>
              <w:rPr>
                <w:rFonts w:ascii="Arial" w:hAnsi="Arial"/>
                <w:position w:val="0"/>
                <w:sz w:val="20"/>
                <w:sz w:val="20"/>
                <w:szCs w:val="20"/>
                <w:shd w:fill="FFFFFF" w:val="clear"/>
                <w:vertAlign w:val="baseline"/>
              </w:rPr>
              <w:t>, oraz dwoma budynkami garażowymi o pow. 47 m</w:t>
            </w:r>
            <w:r>
              <w:rPr>
                <w:rFonts w:ascii="Arial" w:hAnsi="Arial"/>
                <w:sz w:val="20"/>
                <w:szCs w:val="20"/>
                <w:shd w:fill="FFFFFF" w:val="clear"/>
                <w:vertAlign w:val="superscript"/>
              </w:rPr>
              <w:t>2</w:t>
            </w:r>
            <w:r>
              <w:rPr>
                <w:rFonts w:ascii="Arial" w:hAnsi="Arial"/>
                <w:position w:val="0"/>
                <w:sz w:val="20"/>
                <w:sz w:val="20"/>
                <w:szCs w:val="20"/>
                <w:shd w:fill="FFFFFF" w:val="clear"/>
                <w:vertAlign w:val="baseline"/>
              </w:rPr>
              <w:t xml:space="preserve"> i 18m</w:t>
            </w:r>
            <w:r>
              <w:rPr>
                <w:rFonts w:ascii="Arial" w:hAnsi="Arial"/>
                <w:sz w:val="20"/>
                <w:szCs w:val="20"/>
                <w:shd w:fill="FFFFFF" w:val="clear"/>
                <w:vertAlign w:val="superscript"/>
              </w:rPr>
              <w:t>2</w:t>
            </w:r>
            <w:r>
              <w:rPr>
                <w:rFonts w:ascii="Arial" w:hAnsi="Arial"/>
                <w:position w:val="0"/>
                <w:sz w:val="20"/>
                <w:sz w:val="20"/>
                <w:szCs w:val="20"/>
                <w:shd w:fill="FFFFFF" w:val="clear"/>
                <w:vertAlign w:val="baseline"/>
              </w:rPr>
              <w:t>.</w:t>
            </w:r>
          </w:p>
        </w:tc>
        <w:tc>
          <w:tcPr>
            <w:tcW w:w="3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  <w:shd w:fill="FFFFFF" w:val="clear"/>
              </w:rPr>
              <w:t>Miejscowy Plan Zagospodarowania Przestrzennego Śródmieście Miasta Szczytno jednostka B (Uchwala nr XXX/255/2014 Rady Miejskiej w Szczytnie z dnia 26.02.2014 r.)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  <w:shd w:fill="FFFFFF" w:val="clear"/>
              </w:rPr>
              <w:t>MU 03 – Teren zabudowy mieszkalno – usługowej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 xml:space="preserve"> 359 000,00 zł</w:t>
            </w:r>
          </w:p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1"/>
                <w:szCs w:val="21"/>
                <w:u w:val="single"/>
              </w:rPr>
            </w:pPr>
            <w:r>
              <w:rPr>
                <w:rFonts w:ascii="Arial" w:hAnsi="Arial"/>
                <w:sz w:val="21"/>
                <w:szCs w:val="21"/>
                <w:u w:val="single"/>
              </w:rPr>
              <w:t xml:space="preserve">słownie: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pięć milionów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 xml:space="preserve">trzysta pięćdziesiąt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dziewięć tysięcy złotych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Brak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Bezprzetargowo –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darowizna na rzecz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Powiatu Szczycieńskiego </w:t>
            </w:r>
          </w:p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przeznaczeniem na realizację zadań własnych</w:t>
            </w:r>
          </w:p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853" w:hRule="exact"/>
          <w:cantSplit w:val="true"/>
        </w:trPr>
        <w:tc>
          <w:tcPr>
            <w:tcW w:w="4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6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307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  <w:shd w:fill="FFFF00" w:val="clear"/>
              </w:rPr>
            </w:pPr>
            <w:r>
              <w:rPr>
                <w:rFonts w:ascii="Arial" w:hAnsi="Arial"/>
                <w:sz w:val="26"/>
                <w:szCs w:val="26"/>
                <w:shd w:fill="FFFF00" w:val="clear"/>
              </w:rPr>
            </w:r>
          </w:p>
        </w:tc>
        <w:tc>
          <w:tcPr>
            <w:tcW w:w="3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hd w:fill="FFFFFF" w:val="clear"/>
              </w:rPr>
            </w:pPr>
            <w:r>
              <w:rPr>
                <w:rFonts w:ascii="Arial" w:hAnsi="Arial"/>
                <w:sz w:val="20"/>
                <w:szCs w:val="26"/>
                <w:shd w:fill="FFFFFF" w:val="clear"/>
              </w:rPr>
              <w:t>Bi – inne tereny zabudowane</w:t>
            </w:r>
          </w:p>
        </w:tc>
        <w:tc>
          <w:tcPr>
            <w:tcW w:w="1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8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8"/>
          <w:szCs w:val="28"/>
        </w:rPr>
        <w:t>Wykaz niniejszy został sporządzony na okres 21 dni tj. od dnia 29.01.2021 r.</w:t>
      </w:r>
    </w:p>
    <w:p>
      <w:pPr>
        <w:pStyle w:val="Normal"/>
        <w:suppressAutoHyphens w:val="false"/>
        <w:spacing w:before="60" w:after="120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8"/>
          <w:lang w:eastAsia="pl-PL"/>
        </w:rPr>
        <w:t xml:space="preserve">Osobom, którym z mocy ustawy o gospodarce nieruchomościami </w:t>
      </w:r>
      <w:r>
        <w:rPr>
          <w:rFonts w:ascii="Arial" w:hAnsi="Arial"/>
          <w:b w:val="false"/>
          <w:bCs w:val="false"/>
          <w:sz w:val="20"/>
          <w:szCs w:val="28"/>
          <w:lang w:bidi="zxx"/>
        </w:rPr>
        <w:t xml:space="preserve">(tj. Dz. U. z 2020 poz. 1990 ze zm.) </w:t>
      </w:r>
      <w:r>
        <w:rPr>
          <w:rFonts w:ascii="Arial" w:hAnsi="Arial"/>
          <w:b w:val="false"/>
          <w:bCs w:val="false"/>
          <w:sz w:val="20"/>
          <w:szCs w:val="28"/>
          <w:lang w:eastAsia="pl-PL"/>
        </w:rPr>
        <w:t>lub z mocy odrębnych przepisów przysługuje roszczenie o nabycie nieruchomości zamieszczonej w niniejszym wykazie oraz poprzedni właściciele nieruchomości pozbawieni prawa własności tej nieruchomości przed dniem 05.12.1990 roku lub ich spadkobiercy mogą składać wnioski o nabycie nieruchomości w terminie sześciu tygodni od dnia wywieszenia niniejszego wykazu.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6670040</wp:posOffset>
                </wp:positionH>
                <wp:positionV relativeFrom="paragraph">
                  <wp:posOffset>3175</wp:posOffset>
                </wp:positionV>
                <wp:extent cx="2738755" cy="58356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6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3333"/>
                              </w:rPr>
                              <w:t>Z up. STAROSTY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3333"/>
                                <w:sz w:val="16"/>
                                <w:szCs w:val="24"/>
                              </w:rPr>
                              <w:t>NACZELNIK WYDZIAŁU GEODEZJI, KARTOGRAFII, KATASTRU I GOSPODARKI NIERUCHOMOŚCIAMI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33"/>
                              </w:rPr>
                              <w:t>Artur Horodyski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525.2pt;margin-top:0.25pt;width:215.55pt;height:45.85pt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3333"/>
                        </w:rPr>
                        <w:t>Z up. STAROSTY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3333"/>
                          <w:sz w:val="16"/>
                          <w:szCs w:val="24"/>
                        </w:rPr>
                        <w:t>NACZELNIK WYDZIAŁU GEODEZJI, KARTOGRAFII, KATASTRU I GOSPODARKI NIERUCHOMOŚCIAMI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FF3333"/>
                        </w:rPr>
                        <w:t>Artur Horodyski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568" w:right="733" w:header="0" w:top="737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24e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en-US" w:bidi="ar-SA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4424e"/>
    <w:rPr>
      <w:rFonts w:ascii="Arial" w:hAnsi="Arial" w:cs="Arial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WTytu" w:customStyle="1">
    <w:name w:val="WW-Tytuł"/>
    <w:basedOn w:val="Normal"/>
    <w:uiPriority w:val="99"/>
    <w:qFormat/>
    <w:rsid w:val="00c4424e"/>
    <w:pPr>
      <w:jc w:val="center"/>
    </w:pPr>
    <w:rPr>
      <w:b/>
    </w:rPr>
  </w:style>
  <w:style w:type="paragraph" w:styleId="Podtytu">
    <w:name w:val="Podtytuł"/>
    <w:basedOn w:val="Normal"/>
    <w:link w:val="SubtitleChar"/>
    <w:uiPriority w:val="99"/>
    <w:qFormat/>
    <w:rsid w:val="00c4424e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paragraph" w:styleId="Tytutabeli" w:customStyle="1">
    <w:name w:val="Tytuł tabeli"/>
    <w:basedOn w:val="Normal"/>
    <w:uiPriority w:val="99"/>
    <w:qFormat/>
    <w:rsid w:val="00c4424e"/>
    <w:pPr>
      <w:suppressLineNumbers/>
      <w:spacing w:before="0" w:after="120"/>
      <w:jc w:val="center"/>
    </w:pPr>
    <w:rPr>
      <w:b/>
      <w:i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Tekstpodstawowy21">
    <w:name w:val="Tekst podstawowy 21"/>
    <w:basedOn w:val="Normal"/>
    <w:qFormat/>
    <w:pPr>
      <w:jc w:val="center"/>
    </w:pPr>
    <w:rPr/>
  </w:style>
  <w:style w:type="paragraph" w:styleId="Wcicietrecitekstu">
    <w:name w:val="Wcięcie treści tekstu"/>
    <w:basedOn w:val="Normal"/>
    <w:pPr>
      <w:ind w:left="705" w:right="0" w:hanging="0"/>
      <w:jc w:val="both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12101</TotalTime>
  <Application>LibreOffice/4.4.1.2$Windows_x86 LibreOffice_project/45e2de17089c24a1fa810c8f975a7171ba4cd432</Application>
  <Paragraphs>46</Paragraphs>
  <Company>SP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2015-01-21T14:14:00Z</dcterms:created>
  <dc:creator>Edyta Wichowska</dc:creator>
  <dc:language>pl-PL</dc:language>
  <cp:lastPrinted>2021-01-25T09:38:17Z</cp:lastPrinted>
  <dcterms:modified xsi:type="dcterms:W3CDTF">2021-01-27T12:54:43Z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